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gjdgxs" w:id="0"/>
    <w:bookmarkEnd w:id="0"/>
    <w:p w:rsidR="00000000" w:rsidDel="00000000" w:rsidP="00000000" w:rsidRDefault="00000000" w:rsidRPr="00000000" w14:paraId="00000003">
      <w:pPr>
        <w:spacing w:after="200" w:line="276" w:lineRule="auto"/>
        <w:ind w:left="0" w:firstLine="0"/>
        <w:jc w:val="left"/>
        <w:rPr>
          <w:sz w:val="24"/>
          <w:szCs w:val="24"/>
        </w:rPr>
      </w:pPr>
      <w:bookmarkStart w:colFirst="0" w:colLast="0" w:name="_30j0zll" w:id="1"/>
      <w:bookmarkEnd w:id="1"/>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5">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6">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421.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861"/>
        <w:tblGridChange w:id="0">
          <w:tblGrid>
            <w:gridCol w:w="2502"/>
            <w:gridCol w:w="5861"/>
          </w:tblGrid>
        </w:tblGridChange>
      </w:tblGrid>
      <w:tr>
        <w:trPr>
          <w:cantSplit w:val="0"/>
          <w:tblHeader w:val="0"/>
        </w:trPr>
        <w:tc>
          <w:tcPr/>
          <w:p w:rsidR="00000000" w:rsidDel="00000000" w:rsidP="00000000" w:rsidRDefault="00000000" w:rsidRPr="00000000" w14:paraId="00000007">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p w:rsidR="00000000" w:rsidDel="00000000" w:rsidP="00000000" w:rsidRDefault="00000000" w:rsidRPr="00000000" w14:paraId="00000008">
            <w:pPr>
              <w:tabs>
                <w:tab w:val="left" w:leader="none" w:pos="-9"/>
              </w:tabs>
              <w:spacing w:after="120" w:lineRule="auto"/>
              <w:ind w:left="0" w:firstLine="0"/>
              <w:jc w:val="left"/>
              <w:rPr>
                <w:rFonts w:ascii="Arial" w:cs="Arial" w:eastAsia="Arial" w:hAnsi="Arial"/>
                <w:b w:val="0"/>
                <w:sz w:val="22"/>
                <w:szCs w:val="22"/>
              </w:rPr>
            </w:pPr>
            <w:r w:rsidDel="00000000" w:rsidR="00000000" w:rsidRPr="00000000">
              <w:rPr>
                <w:rFonts w:ascii="Arial" w:cs="Arial" w:eastAsia="Arial" w:hAnsi="Arial"/>
                <w:b w:val="0"/>
                <w:sz w:val="24"/>
                <w:szCs w:val="24"/>
                <w:rtl w:val="0"/>
              </w:rPr>
              <w:t xml:space="preserve">the occurrence of:</w:t>
            </w:r>
            <w:r w:rsidDel="00000000" w:rsidR="00000000" w:rsidRPr="00000000">
              <w:rPr>
                <w:rtl w:val="0"/>
              </w:rPr>
            </w:r>
          </w:p>
          <w:p w:rsidR="00000000" w:rsidDel="00000000" w:rsidP="00000000" w:rsidRDefault="00000000" w:rsidRPr="00000000" w14:paraId="00000009">
            <w:pPr>
              <w:numPr>
                <w:ilvl w:val="1"/>
                <w:numId w:val="1"/>
              </w:numP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A">
            <w:pPr>
              <w:numPr>
                <w:ilvl w:val="1"/>
                <w:numId w:val="1"/>
              </w:numP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B">
            <w:pPr>
              <w:tabs>
                <w:tab w:val="left" w:leader="none" w:pos="-9"/>
              </w:tabs>
              <w:spacing w:after="120" w:lineRule="auto"/>
              <w:ind w:left="0" w:firstLine="0"/>
              <w:jc w:val="left"/>
              <w:rPr>
                <w:rFonts w:ascii="Arial" w:cs="Arial" w:eastAsia="Arial" w:hAnsi="Arial"/>
                <w:b w:val="0"/>
                <w:sz w:val="22"/>
                <w:szCs w:val="22"/>
              </w:rPr>
            </w:pPr>
            <w:r w:rsidDel="00000000" w:rsidR="00000000" w:rsidRPr="00000000">
              <w:rPr>
                <w:rFonts w:ascii="Arial" w:cs="Arial" w:eastAsia="Arial" w:hAnsi="Arial"/>
                <w:b w:val="0"/>
                <w:sz w:val="24"/>
                <w:szCs w:val="24"/>
                <w:rtl w:val="0"/>
              </w:rPr>
              <w:t xml:space="preserve">in either case as more particularly set out in the Security Policy where the Buyer has required compliance therewith in accordance with paragraph 2.2;</w:t>
            </w:r>
            <w:r w:rsidDel="00000000" w:rsidR="00000000" w:rsidRPr="00000000">
              <w:rPr>
                <w:rtl w:val="0"/>
              </w:rPr>
            </w:r>
          </w:p>
        </w:tc>
      </w:tr>
      <w:tr>
        <w:trPr>
          <w:cantSplit w:val="0"/>
          <w:tblHeader w:val="0"/>
        </w:trPr>
        <w:tc>
          <w:tcPr/>
          <w:p w:rsidR="00000000" w:rsidDel="00000000" w:rsidP="00000000" w:rsidRDefault="00000000" w:rsidRPr="00000000" w14:paraId="0000000C">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Management Plan" </w:t>
            </w:r>
          </w:p>
        </w:tc>
        <w:tc>
          <w:tcPr/>
          <w:p w:rsidR="00000000" w:rsidDel="00000000" w:rsidP="00000000" w:rsidRDefault="00000000" w:rsidRPr="00000000" w14:paraId="0000000D">
            <w:pPr>
              <w:tabs>
                <w:tab w:val="left" w:leader="none" w:pos="-179"/>
              </w:tabs>
              <w:spacing w:after="120" w:lineRule="auto"/>
              <w:ind w:left="0" w:firstLine="0"/>
              <w:jc w:val="left"/>
              <w:rPr>
                <w:rFonts w:ascii="Arial" w:cs="Arial" w:eastAsia="Arial" w:hAnsi="Arial"/>
                <w:b w:val="0"/>
                <w:sz w:val="22"/>
                <w:szCs w:val="22"/>
              </w:rPr>
            </w:pPr>
            <w:r w:rsidDel="00000000" w:rsidR="00000000" w:rsidRPr="00000000">
              <w:rPr>
                <w:rFonts w:ascii="Arial" w:cs="Arial" w:eastAsia="Arial" w:hAnsi="Arial"/>
                <w:b w:val="0"/>
                <w:sz w:val="24"/>
                <w:szCs w:val="24"/>
                <w:rtl w:val="0"/>
              </w:rPr>
              <w:t xml:space="preserve">the Supplier's security management plan prepared pursuant to this Schedule, a draft of which has been provided by the Supplier to the Buyer and as updated from time to time.</w:t>
            </w:r>
            <w:r w:rsidDel="00000000" w:rsidR="00000000" w:rsidRPr="00000000">
              <w:rPr>
                <w:rtl w:val="0"/>
              </w:rPr>
            </w:r>
          </w:p>
        </w:tc>
      </w:tr>
    </w:tbl>
    <w:p w:rsidR="00000000" w:rsidDel="00000000" w:rsidP="00000000" w:rsidRDefault="00000000" w:rsidRPr="00000000" w14:paraId="0000000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6">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D">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E">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1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0">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1">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2">
      <w:pPr>
        <w:numPr>
          <w:ilvl w:val="3"/>
          <w:numId w:val="4"/>
        </w:numPr>
        <w:pBdr>
          <w:top w:space="0" w:sz="0" w:val="nil"/>
          <w:left w:space="0" w:sz="0" w:val="nil"/>
          <w:bottom w:space="0" w:sz="0" w:val="nil"/>
          <w:right w:space="0" w:sz="0" w:val="nil"/>
          <w:between w:space="0" w:sz="0" w:val="nil"/>
        </w:pBdr>
        <w:tabs>
          <w:tab w:val="left" w:leader="none" w:pos="1985"/>
          <w:tab w:val="left" w:leader="none" w:pos="2410"/>
        </w:tabs>
        <w:spacing w:after="120" w:before="120" w:lineRule="auto"/>
        <w:ind w:left="2410" w:hanging="540"/>
        <w:jc w:val="left"/>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3">
      <w:pPr>
        <w:numPr>
          <w:ilvl w:val="3"/>
          <w:numId w:val="4"/>
        </w:numPr>
        <w:pBdr>
          <w:top w:space="0" w:sz="0" w:val="nil"/>
          <w:left w:space="0" w:sz="0" w:val="nil"/>
          <w:bottom w:space="0" w:sz="0" w:val="nil"/>
          <w:right w:space="0" w:sz="0" w:val="nil"/>
          <w:between w:space="0" w:sz="0" w:val="nil"/>
        </w:pBdr>
        <w:tabs>
          <w:tab w:val="left" w:leader="none" w:pos="1985"/>
          <w:tab w:val="left" w:leader="none" w:pos="2410"/>
        </w:tabs>
        <w:spacing w:after="120" w:before="120" w:lineRule="auto"/>
        <w:ind w:left="2410" w:hanging="540"/>
        <w:jc w:val="left"/>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4">
      <w:pPr>
        <w:numPr>
          <w:ilvl w:val="3"/>
          <w:numId w:val="4"/>
        </w:numPr>
        <w:pBdr>
          <w:top w:space="0" w:sz="0" w:val="nil"/>
          <w:left w:space="0" w:sz="0" w:val="nil"/>
          <w:bottom w:space="0" w:sz="0" w:val="nil"/>
          <w:right w:space="0" w:sz="0" w:val="nil"/>
          <w:between w:space="0" w:sz="0" w:val="nil"/>
        </w:pBdr>
        <w:tabs>
          <w:tab w:val="left" w:leader="none" w:pos="1985"/>
          <w:tab w:val="left" w:leader="none" w:pos="2410"/>
        </w:tabs>
        <w:spacing w:after="120" w:before="120" w:lineRule="auto"/>
        <w:ind w:left="2410" w:hanging="540"/>
        <w:jc w:val="left"/>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leader="none" w:pos="1985"/>
          <w:tab w:val="left" w:leader="none" w:pos="2410"/>
        </w:tabs>
        <w:spacing w:after="120" w:before="120" w:lineRule="auto"/>
        <w:ind w:left="2410" w:hanging="540"/>
        <w:jc w:val="left"/>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leader="none" w:pos="1985"/>
          <w:tab w:val="left" w:leader="none" w:pos="2410"/>
        </w:tabs>
        <w:spacing w:after="120" w:before="120" w:lineRule="auto"/>
        <w:ind w:left="2410" w:hanging="540"/>
        <w:jc w:val="left"/>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leader="none" w:pos="1985"/>
          <w:tab w:val="left" w:leader="none" w:pos="2410"/>
        </w:tabs>
        <w:spacing w:after="120" w:before="120" w:lineRule="auto"/>
        <w:ind w:left="2410" w:hanging="540"/>
        <w:jc w:val="left"/>
        <w:rPr/>
      </w:pPr>
      <w:bookmarkStart w:colFirst="0" w:colLast="0" w:name="_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leader="none" w:pos="1985"/>
          <w:tab w:val="left" w:leader="none" w:pos="2410"/>
        </w:tabs>
        <w:spacing w:after="120" w:before="120" w:lineRule="auto"/>
        <w:ind w:left="2410" w:hanging="540"/>
        <w:jc w:val="left"/>
        <w:rPr/>
      </w:pPr>
      <w:bookmarkStart w:colFirst="0" w:colLast="0" w:name="_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9">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E">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2F">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0">
      <w:pPr>
        <w:numPr>
          <w:ilvl w:val="3"/>
          <w:numId w:val="4"/>
        </w:numPr>
        <w:pBdr>
          <w:top w:space="0" w:sz="0" w:val="nil"/>
          <w:left w:space="0" w:sz="0" w:val="nil"/>
          <w:bottom w:space="0" w:sz="0" w:val="nil"/>
          <w:right w:space="0" w:sz="0" w:val="nil"/>
          <w:between w:space="0" w:sz="0" w:val="nil"/>
        </w:pBdr>
        <w:tabs>
          <w:tab w:val="left" w:leader="none" w:pos="1985"/>
          <w:tab w:val="left" w:leader="none" w:pos="2410"/>
        </w:tabs>
        <w:spacing w:after="120" w:before="120" w:lineRule="auto"/>
        <w:ind w:left="1985" w:hanging="425"/>
        <w:jc w:val="left"/>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leader="none" w:pos="1985"/>
          <w:tab w:val="left" w:leader="none" w:pos="2410"/>
        </w:tabs>
        <w:spacing w:after="120" w:before="120" w:lineRule="auto"/>
        <w:ind w:left="1985" w:hanging="425"/>
        <w:jc w:val="left"/>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2">
      <w:pPr>
        <w:numPr>
          <w:ilvl w:val="3"/>
          <w:numId w:val="4"/>
        </w:numPr>
        <w:pBdr>
          <w:top w:space="0" w:sz="0" w:val="nil"/>
          <w:left w:space="0" w:sz="0" w:val="nil"/>
          <w:bottom w:space="0" w:sz="0" w:val="nil"/>
          <w:right w:space="0" w:sz="0" w:val="nil"/>
          <w:between w:space="0" w:sz="0" w:val="nil"/>
        </w:pBdr>
        <w:tabs>
          <w:tab w:val="left" w:leader="none" w:pos="1985"/>
          <w:tab w:val="left" w:leader="none" w:pos="2410"/>
        </w:tabs>
        <w:spacing w:after="120" w:before="120" w:lineRule="auto"/>
        <w:ind w:left="1985" w:hanging="425"/>
        <w:jc w:val="left"/>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3">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4">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D">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18" w:hanging="720"/>
        <w:jc w:val="left"/>
        <w:rPr>
          <w:sz w:val="24"/>
          <w:szCs w:val="24"/>
        </w:rPr>
      </w:pPr>
      <w:bookmarkStart w:colFirst="0" w:colLast="0" w:name="_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3F">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0">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1">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4">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5">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A">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p w:rsidR="00000000" w:rsidDel="00000000" w:rsidP="00000000" w:rsidRDefault="00000000" w:rsidRPr="00000000" w14:paraId="0000004B">
            <w:pPr>
              <w:tabs>
                <w:tab w:val="left" w:leader="none" w:pos="-9"/>
              </w:tabs>
              <w:spacing w:after="120" w:lineRule="auto"/>
              <w:ind w:left="0" w:firstLine="0"/>
              <w:jc w:val="left"/>
              <w:rPr>
                <w:rFonts w:ascii="Arial" w:cs="Arial" w:eastAsia="Arial" w:hAnsi="Arial"/>
                <w:b w:val="0"/>
                <w:sz w:val="22"/>
                <w:szCs w:val="22"/>
              </w:rPr>
            </w:pPr>
            <w:r w:rsidDel="00000000" w:rsidR="00000000" w:rsidRPr="00000000">
              <w:rPr>
                <w:rFonts w:ascii="Arial" w:cs="Arial" w:eastAsia="Arial" w:hAnsi="Arial"/>
                <w:b w:val="0"/>
                <w:sz w:val="24"/>
                <w:szCs w:val="24"/>
                <w:rtl w:val="0"/>
              </w:rPr>
              <w:t xml:space="preserve">means the occurrence of:</w:t>
            </w:r>
            <w:r w:rsidDel="00000000" w:rsidR="00000000" w:rsidRPr="00000000">
              <w:rPr>
                <w:rtl w:val="0"/>
              </w:rPr>
            </w:r>
          </w:p>
          <w:p w:rsidR="00000000" w:rsidDel="00000000" w:rsidP="00000000" w:rsidRDefault="00000000" w:rsidRPr="00000000" w14:paraId="0000004C">
            <w:pPr>
              <w:pStyle w:val="Heading5"/>
              <w:numPr>
                <w:ilvl w:val="4"/>
                <w:numId w:val="1"/>
              </w:numPr>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D">
            <w:pPr>
              <w:pStyle w:val="Heading5"/>
              <w:numPr>
                <w:ilvl w:val="4"/>
                <w:numId w:val="1"/>
              </w:numPr>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E">
            <w:pPr>
              <w:tabs>
                <w:tab w:val="left" w:leader="none" w:pos="-9"/>
              </w:tabs>
              <w:spacing w:after="120" w:lineRule="auto"/>
              <w:ind w:left="0" w:firstLine="0"/>
              <w:jc w:val="left"/>
              <w:rPr>
                <w:rFonts w:ascii="Arial" w:cs="Arial" w:eastAsia="Arial" w:hAnsi="Arial"/>
                <w:b w:val="0"/>
                <w:sz w:val="22"/>
                <w:szCs w:val="22"/>
              </w:rPr>
            </w:pPr>
            <w:r w:rsidDel="00000000" w:rsidR="00000000" w:rsidRPr="00000000">
              <w:rPr>
                <w:rFonts w:ascii="Arial" w:cs="Arial" w:eastAsia="Arial" w:hAnsi="Arial"/>
                <w:b w:val="0"/>
                <w:sz w:val="24"/>
                <w:szCs w:val="24"/>
                <w:rtl w:val="0"/>
              </w:rPr>
              <w:t xml:space="preserve">in either case as more particularly set out in the security requirements in the Security Policy where the Buyer has required compliance therewith in accordance with paragraph 3.4.3 d;</w:t>
            </w:r>
            <w:r w:rsidDel="00000000" w:rsidR="00000000" w:rsidRPr="00000000">
              <w:rPr>
                <w:rtl w:val="0"/>
              </w:rPr>
            </w:r>
          </w:p>
        </w:tc>
      </w:tr>
      <w:tr>
        <w:trPr>
          <w:cantSplit w:val="0"/>
          <w:tblHeader w:val="0"/>
        </w:trPr>
        <w:tc>
          <w:tcPr/>
          <w:p w:rsidR="00000000" w:rsidDel="00000000" w:rsidP="00000000" w:rsidRDefault="00000000" w:rsidRPr="00000000" w14:paraId="0000004F">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"ISMS"</w:t>
            </w:r>
          </w:p>
        </w:tc>
        <w:tc>
          <w:tcPr/>
          <w:p w:rsidR="00000000" w:rsidDel="00000000" w:rsidP="00000000" w:rsidRDefault="00000000" w:rsidRPr="00000000" w14:paraId="00000050">
            <w:pPr>
              <w:tabs>
                <w:tab w:val="left" w:leader="none" w:pos="-9"/>
              </w:tabs>
              <w:spacing w:after="120" w:lineRule="auto"/>
              <w:ind w:left="0" w:firstLine="0"/>
              <w:jc w:val="left"/>
              <w:rPr>
                <w:rFonts w:ascii="Arial" w:cs="Arial" w:eastAsia="Arial" w:hAnsi="Arial"/>
                <w:b w:val="0"/>
                <w:sz w:val="22"/>
                <w:szCs w:val="22"/>
              </w:rPr>
            </w:pPr>
            <w:r w:rsidDel="00000000" w:rsidR="00000000" w:rsidRPr="00000000">
              <w:rPr>
                <w:rFonts w:ascii="Arial" w:cs="Arial" w:eastAsia="Arial" w:hAnsi="Arial"/>
                <w:b w:val="0"/>
                <w:sz w:val="24"/>
                <w:szCs w:val="24"/>
                <w:rtl w:val="0"/>
              </w:rPr>
              <w:t xml:space="preserve">the information security management system and process developed by the Supplier in accordance with Paragraph 3 (ISMS) as updated from time to time in accordance with this Schedule; and</w:t>
            </w:r>
            <w:r w:rsidDel="00000000" w:rsidR="00000000" w:rsidRPr="00000000">
              <w:rPr>
                <w:rtl w:val="0"/>
              </w:rPr>
            </w:r>
          </w:p>
        </w:tc>
      </w:tr>
      <w:tr>
        <w:trPr>
          <w:cantSplit w:val="0"/>
          <w:tblHeader w:val="0"/>
        </w:trPr>
        <w:tc>
          <w:tcPr/>
          <w:p w:rsidR="00000000" w:rsidDel="00000000" w:rsidP="00000000" w:rsidRDefault="00000000" w:rsidRPr="00000000" w14:paraId="00000051">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Tests"</w:t>
            </w:r>
          </w:p>
        </w:tc>
        <w:tc>
          <w:tcPr/>
          <w:p w:rsidR="00000000" w:rsidDel="00000000" w:rsidP="00000000" w:rsidRDefault="00000000" w:rsidRPr="00000000" w14:paraId="00000052">
            <w:pPr>
              <w:tabs>
                <w:tab w:val="left" w:leader="none" w:pos="-9"/>
              </w:tabs>
              <w:spacing w:after="120" w:lineRule="auto"/>
              <w:ind w:left="0" w:firstLine="0"/>
              <w:jc w:val="left"/>
              <w:rPr>
                <w:rFonts w:ascii="Arial" w:cs="Arial" w:eastAsia="Arial" w:hAnsi="Arial"/>
                <w:b w:val="0"/>
                <w:sz w:val="22"/>
                <w:szCs w:val="22"/>
              </w:rPr>
            </w:pPr>
            <w:r w:rsidDel="00000000" w:rsidR="00000000" w:rsidRPr="00000000">
              <w:rPr>
                <w:rFonts w:ascii="Arial" w:cs="Arial" w:eastAsia="Arial" w:hAnsi="Arial"/>
                <w:b w:val="0"/>
                <w:sz w:val="24"/>
                <w:szCs w:val="24"/>
                <w:rtl w:val="0"/>
              </w:rPr>
              <w:t xml:space="preserve">tests to validate the ISMS and security of all relevant processes, systems, incident response plans, patches to vulnerabilities and mitigations to Breaches of Security.</w:t>
            </w:r>
            <w:r w:rsidDel="00000000" w:rsidR="00000000" w:rsidRPr="00000000">
              <w:rPr>
                <w:rtl w:val="0"/>
              </w:rPr>
            </w:r>
          </w:p>
        </w:tc>
      </w:tr>
    </w:tbl>
    <w:p w:rsidR="00000000" w:rsidDel="00000000" w:rsidP="00000000" w:rsidRDefault="00000000" w:rsidRPr="00000000" w14:paraId="0000005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6">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takes account of guidance issued by the Centre for Protection of National Infrastructure (</w:t>
      </w:r>
      <w:hyperlink r:id="rId7">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HMG Information Assurance Maturity Model and Assurance Framework (</w:t>
      </w:r>
      <w:hyperlink r:id="rId8">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bookmarkStart w:colFirst="0" w:colLast="0" w:name="_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as a result of any such independent audit as described in Paragraph 7.1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supply any requested data to the Buyer (or the Computer Emergency Response Team for UK Government ("</w:t>
      </w:r>
      <w:r w:rsidDel="00000000" w:rsidR="00000000" w:rsidRPr="00000000">
        <w:rPr>
          <w:b w:val="1"/>
          <w:color w:val="000000"/>
          <w:sz w:val="24"/>
          <w:szCs w:val="24"/>
          <w:rtl w:val="0"/>
        </w:rPr>
        <w:t xml:space="preserve">GovCertUK</w:t>
      </w:r>
      <w:r w:rsidDel="00000000" w:rsidR="00000000" w:rsidRPr="00000000">
        <w:rPr>
          <w:color w:val="000000"/>
          <w:sz w:val="24"/>
          <w:szCs w:val="24"/>
          <w:rtl w:val="0"/>
        </w:rPr>
        <w:t xml:space="preserve">")) on the Buyer’s request within two (2) Working Days and without charge (where such requests are reasonably related to a possible incident or compromise); and</w:t>
      </w:r>
    </w:p>
    <w:p w:rsidR="00000000" w:rsidDel="00000000" w:rsidP="00000000" w:rsidRDefault="00000000" w:rsidRPr="00000000" w14:paraId="000000A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sz w:val="24"/>
          <w:szCs w:val="24"/>
        </w:rPr>
      </w:pPr>
      <w:bookmarkStart w:colFirst="0" w:colLast="0" w:name="_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4">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rtl w:val="0"/>
        </w:rPr>
        <w:t xml:space="preserve">Subject to Paragraph 6, </w:t>
      </w:r>
      <w:r w:rsidDel="00000000" w:rsidR="00000000" w:rsidRPr="00000000">
        <w:rPr>
          <w:color w:val="000000"/>
          <w:sz w:val="24"/>
          <w:szCs w:val="24"/>
          <w:rtl w:val="0"/>
        </w:rPr>
        <w:t xml:space="preserve">the Supplier shall not handle Buyer information classified, or otherwise labelled, as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9">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C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0">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Supplier shall agree on a case by case basis Supplier Staff roles which require specific government clearances (such as ‘SC’) including: (i) system administrators with privileged access to IT systems which store or process Government Data, and (ii) Supplier Staff who may handle Buyer information classified, or otherwise labelled as, SECRET or TOP SECRET. </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0">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2">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bookmarkStart w:colFirst="0" w:colLast="0" w:name="_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8">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color w:val="000000"/>
        <w:rtl w:val="0"/>
      </w:rPr>
      <w:t xml:space="preserve">76532008.1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rFonts w:ascii="Calibri" w:cs="Calibri" w:eastAsia="Calibri" w:hAnsi="Calibri"/>
        <w:color w:val="a6a6a6"/>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76532008.1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nmf14n" w:id="47"/>
  <w:bookmarkEnd w:id="47"/>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709"/>
      <w:rPr>
        <w:color w:val="000000"/>
        <w:sz w:val="20"/>
        <w:szCs w:val="20"/>
      </w:rPr>
    </w:pPr>
    <w:r w:rsidDel="00000000" w:rsidR="00000000" w:rsidRPr="00000000">
      <w:rPr>
        <w:color w:val="000000"/>
        <w:sz w:val="20"/>
        <w:szCs w:val="20"/>
        <w:rtl w:val="0"/>
      </w:rPr>
      <w:t xml:space="preserve">Framework Ref: </w:t>
    </w:r>
    <w:r w:rsidDel="00000000" w:rsidR="00000000" w:rsidRPr="00000000">
      <w:rPr>
        <w:rtl w:val="0"/>
      </w:rPr>
      <w:t xml:space="preserve">RM</w:t>
    </w:r>
    <w:r w:rsidDel="00000000" w:rsidR="00000000" w:rsidRPr="00000000">
      <w:rPr>
        <w:color w:val="000000"/>
        <w:sz w:val="20"/>
        <w:szCs w:val="20"/>
        <w:rtl w:val="0"/>
      </w:rPr>
      <w:t xml:space="preserve">6335</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709"/>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709"/>
      <w:jc w:val="left"/>
      <w:rPr>
        <w:color w:val="000000"/>
        <w:sz w:val="20"/>
        <w:szCs w:val="20"/>
      </w:rPr>
    </w:pPr>
    <w:bookmarkStart w:colFirst="0" w:colLast="0" w:name="_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r w:rsidDel="00000000" w:rsidR="00000000" w:rsidRPr="00000000">
      <w:rPr>
        <w:color w:val="a6a6a6"/>
        <w:sz w:val="20"/>
        <w:szCs w:val="20"/>
        <w:rtl w:val="0"/>
      </w:rPr>
      <w:t xml:space="preserve">76532008.1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EF">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guidance/end-user-device-security"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security-policy-framework/hmg-security-policy-framework" TargetMode="External"/><Relationship Id="rId7" Type="http://schemas.openxmlformats.org/officeDocument/2006/relationships/hyperlink" Target="https://www.cpni.gov.uk" TargetMode="External"/><Relationship Id="rId8"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76686896.1</vt:lpwstr>
  </property>
  <property fmtid="{D5CDD505-2E9C-101B-9397-08002B2CF9AE}" pid="3" name="gCurrentVersion">
    <vt:lpwstr>17 November 2017 D1V7</vt:lpwstr>
  </property>
</Properties>
</file>